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174"/>
        <w:gridCol w:w="2051"/>
      </w:tblGrid>
      <w:tr w:rsidR="00E950B0" w:rsidRPr="00F00D0E" w14:paraId="77039CB4" w14:textId="77777777" w:rsidTr="00F20A75">
        <w:trPr>
          <w:trHeight w:val="1049"/>
        </w:trPr>
        <w:tc>
          <w:tcPr>
            <w:tcW w:w="8174" w:type="dxa"/>
            <w:tcMar>
              <w:top w:w="0" w:type="dxa"/>
              <w:left w:w="0" w:type="dxa"/>
              <w:bottom w:w="0" w:type="dxa"/>
              <w:right w:w="0" w:type="dxa"/>
            </w:tcMar>
          </w:tcPr>
          <w:p w14:paraId="205D0289" w14:textId="77777777" w:rsidR="00E950B0" w:rsidRPr="00F00D0E"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051" w:type="dxa"/>
            <w:tcMar>
              <w:top w:w="0" w:type="dxa"/>
              <w:left w:w="0" w:type="dxa"/>
              <w:bottom w:w="0" w:type="dxa"/>
              <w:right w:w="0" w:type="dxa"/>
            </w:tcMar>
          </w:tcPr>
          <w:p w14:paraId="2B36F938" w14:textId="77777777" w:rsidR="00E950B0" w:rsidRPr="00F00D0E" w:rsidRDefault="00E950B0" w:rsidP="004B239B">
            <w:pPr>
              <w:tabs>
                <w:tab w:val="center" w:pos="4513"/>
                <w:tab w:val="right" w:pos="9026"/>
              </w:tabs>
              <w:jc w:val="left"/>
              <w:rPr>
                <w:lang w:val="en-US"/>
              </w:rPr>
            </w:pPr>
          </w:p>
        </w:tc>
      </w:tr>
      <w:tr w:rsidR="004B239B" w:rsidRPr="00F00D0E" w14:paraId="1391366F" w14:textId="77777777" w:rsidTr="00F20A75">
        <w:trPr>
          <w:trHeight w:val="2075"/>
        </w:trPr>
        <w:tc>
          <w:tcPr>
            <w:tcW w:w="8174" w:type="dxa"/>
            <w:tcMar>
              <w:top w:w="0" w:type="dxa"/>
              <w:left w:w="0" w:type="dxa"/>
              <w:bottom w:w="0" w:type="dxa"/>
              <w:right w:w="0" w:type="dxa"/>
            </w:tcMar>
          </w:tcPr>
          <w:p w14:paraId="609F8A8B" w14:textId="796C2AA8" w:rsidR="004B239B" w:rsidRPr="00F00D0E" w:rsidRDefault="00E92513" w:rsidP="00AF68F1">
            <w:pPr>
              <w:tabs>
                <w:tab w:val="left" w:pos="3270"/>
              </w:tabs>
              <w:jc w:val="left"/>
              <w:rPr>
                <w:lang w:val="en-US"/>
              </w:rPr>
            </w:pPr>
            <w:r w:rsidRPr="00F00D0E">
              <w:rPr>
                <w:rFonts w:eastAsia="Calibri" w:cs="Arial"/>
                <w:b/>
                <w:color w:val="auto"/>
                <w:sz w:val="40"/>
                <w:lang w:val="en-US"/>
              </w:rPr>
              <w:t>2016 D21 Digital Index: Companies must contribute to digitalization of Germans</w:t>
            </w:r>
          </w:p>
        </w:tc>
        <w:tc>
          <w:tcPr>
            <w:tcW w:w="2051" w:type="dxa"/>
            <w:tcMar>
              <w:top w:w="0" w:type="dxa"/>
              <w:left w:w="0" w:type="dxa"/>
              <w:bottom w:w="0" w:type="dxa"/>
              <w:right w:w="0" w:type="dxa"/>
            </w:tcMar>
          </w:tcPr>
          <w:p w14:paraId="6392D8BA" w14:textId="77777777" w:rsidR="004B239B" w:rsidRPr="00F00D0E" w:rsidRDefault="004B239B" w:rsidP="004B239B">
            <w:pPr>
              <w:tabs>
                <w:tab w:val="center" w:pos="4513"/>
                <w:tab w:val="right" w:pos="9026"/>
              </w:tabs>
              <w:jc w:val="left"/>
              <w:rPr>
                <w:lang w:val="en-US"/>
              </w:rPr>
            </w:pPr>
          </w:p>
        </w:tc>
      </w:tr>
      <w:tr w:rsidR="004B239B" w:rsidRPr="00F00D0E" w14:paraId="41746E48" w14:textId="77777777" w:rsidTr="00F20A75">
        <w:trPr>
          <w:trHeight w:val="2398"/>
        </w:trPr>
        <w:tc>
          <w:tcPr>
            <w:tcW w:w="8174" w:type="dxa"/>
            <w:tcMar>
              <w:top w:w="0" w:type="dxa"/>
              <w:left w:w="0" w:type="dxa"/>
              <w:bottom w:w="0" w:type="dxa"/>
              <w:right w:w="0" w:type="dxa"/>
            </w:tcMar>
          </w:tcPr>
          <w:p w14:paraId="7DC75881" w14:textId="450F2A26" w:rsidR="00CF607D" w:rsidRPr="00CF607D" w:rsidRDefault="00CF607D" w:rsidP="00CF607D">
            <w:pPr>
              <w:pStyle w:val="AufzhlungspunkteCHG-MERIDIAN"/>
              <w:rPr>
                <w:lang w:val="en-US"/>
              </w:rPr>
            </w:pPr>
            <w:r w:rsidRPr="00F00D0E">
              <w:rPr>
                <w:color w:val="000000"/>
                <w:lang w:val="en-US"/>
              </w:rPr>
              <w:t xml:space="preserve">CHG-MERIDIAN is supporting the </w:t>
            </w:r>
            <w:r>
              <w:rPr>
                <w:color w:val="000000"/>
                <w:lang w:val="en-US"/>
              </w:rPr>
              <w:t xml:space="preserve">D21 </w:t>
            </w:r>
            <w:r w:rsidRPr="00F00D0E">
              <w:rPr>
                <w:color w:val="000000"/>
                <w:lang w:val="en-US"/>
              </w:rPr>
              <w:t>study as a partner for the first time</w:t>
            </w:r>
          </w:p>
          <w:p w14:paraId="58C42200" w14:textId="3B85241E" w:rsidR="00E92513" w:rsidRPr="00F00D0E" w:rsidRDefault="00E92513" w:rsidP="00E92513">
            <w:pPr>
              <w:pStyle w:val="AufzhlungspunkteCHG-MERIDIAN"/>
              <w:rPr>
                <w:lang w:val="en-US"/>
              </w:rPr>
            </w:pPr>
            <w:r w:rsidRPr="00F00D0E">
              <w:rPr>
                <w:color w:val="000000"/>
                <w:lang w:val="en-US"/>
              </w:rPr>
              <w:t>The digital skills of the German population are improving – but too slowly</w:t>
            </w:r>
          </w:p>
          <w:p w14:paraId="1E594D17" w14:textId="7663EE0D" w:rsidR="0019557C" w:rsidRPr="00F00D0E" w:rsidRDefault="00E92513" w:rsidP="0019557C">
            <w:pPr>
              <w:pStyle w:val="AufzhlungspunkteCHG-MERIDIAN"/>
              <w:rPr>
                <w:lang w:val="en-US"/>
              </w:rPr>
            </w:pPr>
            <w:r w:rsidRPr="00F00D0E">
              <w:rPr>
                <w:color w:val="000000"/>
                <w:lang w:val="en-US"/>
              </w:rPr>
              <w:t>Three out of four Germans prefer to learn how to use smartphones and similar devices by themselves in their spare time</w:t>
            </w:r>
          </w:p>
          <w:p w14:paraId="47BA59C8" w14:textId="5DD6AD14" w:rsidR="0019557C" w:rsidRPr="00F00D0E" w:rsidRDefault="00E92513" w:rsidP="0019557C">
            <w:pPr>
              <w:pStyle w:val="AufzhlungspunkteCHG-MERIDIAN"/>
              <w:rPr>
                <w:lang w:val="en-US"/>
              </w:rPr>
            </w:pPr>
            <w:r w:rsidRPr="00F00D0E">
              <w:rPr>
                <w:color w:val="000000"/>
                <w:lang w:val="en-US"/>
              </w:rPr>
              <w:t>The onus is on companies: Tax-exempt incentive programs also provide employees with access for personal use</w:t>
            </w:r>
          </w:p>
          <w:p w14:paraId="2921383D" w14:textId="0E15FE58" w:rsidR="005571B7" w:rsidRPr="00F00D0E" w:rsidRDefault="005571B7" w:rsidP="0019557C">
            <w:pPr>
              <w:pStyle w:val="AufzhlungspunkteCHG-MERIDIAN"/>
              <w:numPr>
                <w:ilvl w:val="0"/>
                <w:numId w:val="0"/>
              </w:numPr>
              <w:ind w:left="360"/>
              <w:rPr>
                <w:lang w:val="en-US"/>
              </w:rPr>
            </w:pPr>
          </w:p>
          <w:p w14:paraId="7A774224" w14:textId="77777777" w:rsidR="004B239B" w:rsidRPr="00F00D0E" w:rsidRDefault="004B239B" w:rsidP="006A61DF">
            <w:pPr>
              <w:spacing w:line="200" w:lineRule="exact"/>
              <w:rPr>
                <w:lang w:val="en-US"/>
              </w:rPr>
            </w:pPr>
          </w:p>
        </w:tc>
        <w:tc>
          <w:tcPr>
            <w:tcW w:w="2051" w:type="dxa"/>
            <w:tcMar>
              <w:top w:w="0" w:type="dxa"/>
              <w:left w:w="0" w:type="dxa"/>
              <w:bottom w:w="0" w:type="dxa"/>
              <w:right w:w="0" w:type="dxa"/>
            </w:tcMar>
          </w:tcPr>
          <w:p w14:paraId="4C3151F1" w14:textId="682850A7" w:rsidR="00AA3DD5" w:rsidRPr="00F00D0E" w:rsidRDefault="00DB0401" w:rsidP="00AA3DD5">
            <w:pPr>
              <w:tabs>
                <w:tab w:val="left" w:pos="709"/>
                <w:tab w:val="right" w:pos="2835"/>
              </w:tabs>
              <w:spacing w:line="200" w:lineRule="atLeast"/>
              <w:jc w:val="left"/>
              <w:rPr>
                <w:b/>
                <w:color w:val="auto"/>
                <w:sz w:val="14"/>
                <w:szCs w:val="14"/>
                <w:lang w:val="en-US"/>
              </w:rPr>
            </w:pPr>
            <w:r w:rsidRPr="00F00D0E">
              <w:rPr>
                <w:rFonts w:cs="Arial"/>
                <w:b/>
                <w:color w:val="auto"/>
                <w:sz w:val="14"/>
                <w:lang w:val="en-US"/>
              </w:rPr>
              <w:t>Your contact:</w:t>
            </w:r>
          </w:p>
          <w:p w14:paraId="1B2175ED" w14:textId="77777777" w:rsidR="004C79EB" w:rsidRPr="00F00D0E" w:rsidRDefault="004C79EB" w:rsidP="00AA3DD5">
            <w:pPr>
              <w:tabs>
                <w:tab w:val="left" w:pos="709"/>
                <w:tab w:val="right" w:pos="2835"/>
              </w:tabs>
              <w:spacing w:line="200" w:lineRule="atLeast"/>
              <w:jc w:val="left"/>
              <w:rPr>
                <w:color w:val="auto"/>
                <w:sz w:val="14"/>
                <w:szCs w:val="14"/>
                <w:lang w:val="en-US"/>
              </w:rPr>
            </w:pPr>
          </w:p>
          <w:p w14:paraId="6DB5C3BC" w14:textId="77777777" w:rsidR="00AA3DD5" w:rsidRPr="00F00D0E" w:rsidRDefault="00AA3DD5" w:rsidP="00AA3DD5">
            <w:pPr>
              <w:tabs>
                <w:tab w:val="left" w:pos="709"/>
                <w:tab w:val="right" w:pos="2835"/>
              </w:tabs>
              <w:spacing w:line="200" w:lineRule="atLeast"/>
              <w:jc w:val="left"/>
              <w:rPr>
                <w:color w:val="auto"/>
                <w:sz w:val="14"/>
                <w:szCs w:val="14"/>
                <w:lang w:val="en-US"/>
              </w:rPr>
            </w:pPr>
            <w:r w:rsidRPr="00F00D0E">
              <w:rPr>
                <w:rFonts w:cs="Arial"/>
                <w:color w:val="auto"/>
                <w:sz w:val="14"/>
                <w:lang w:val="en-US"/>
              </w:rPr>
              <w:t xml:space="preserve">Matthias Steybe </w:t>
            </w:r>
          </w:p>
          <w:p w14:paraId="7122FDCD" w14:textId="77777777" w:rsidR="00AA3DD5" w:rsidRPr="00F00D0E" w:rsidRDefault="00AA3DD5" w:rsidP="00AA3DD5">
            <w:pPr>
              <w:tabs>
                <w:tab w:val="left" w:pos="709"/>
                <w:tab w:val="right" w:pos="2835"/>
              </w:tabs>
              <w:spacing w:line="200" w:lineRule="atLeast"/>
              <w:jc w:val="left"/>
              <w:rPr>
                <w:color w:val="auto"/>
                <w:sz w:val="14"/>
                <w:szCs w:val="14"/>
                <w:lang w:val="en-US"/>
              </w:rPr>
            </w:pPr>
            <w:r w:rsidRPr="00F00D0E">
              <w:rPr>
                <w:rFonts w:cs="Arial"/>
                <w:color w:val="auto"/>
                <w:sz w:val="14"/>
                <w:lang w:val="en-US"/>
              </w:rPr>
              <w:t xml:space="preserve">Head of Communications </w:t>
            </w:r>
          </w:p>
          <w:p w14:paraId="666FA113" w14:textId="77777777" w:rsidR="00AA3DD5" w:rsidRPr="00F00D0E" w:rsidRDefault="00AA3DD5" w:rsidP="00AA3DD5">
            <w:pPr>
              <w:tabs>
                <w:tab w:val="left" w:pos="709"/>
                <w:tab w:val="right" w:pos="2835"/>
              </w:tabs>
              <w:spacing w:line="200" w:lineRule="atLeast"/>
              <w:jc w:val="left"/>
              <w:rPr>
                <w:color w:val="auto"/>
                <w:sz w:val="14"/>
                <w:szCs w:val="14"/>
                <w:lang w:val="en-US"/>
              </w:rPr>
            </w:pPr>
            <w:r w:rsidRPr="00F00D0E">
              <w:rPr>
                <w:rFonts w:cs="Arial"/>
                <w:color w:val="auto"/>
                <w:sz w:val="14"/>
                <w:lang w:val="en-US"/>
              </w:rPr>
              <w:t>and Marketing</w:t>
            </w:r>
          </w:p>
          <w:p w14:paraId="63833CA1" w14:textId="77777777" w:rsidR="004B239B" w:rsidRPr="00F00D0E" w:rsidRDefault="004B239B" w:rsidP="004B239B">
            <w:pPr>
              <w:tabs>
                <w:tab w:val="center" w:pos="4513"/>
                <w:tab w:val="right" w:pos="9026"/>
              </w:tabs>
              <w:jc w:val="left"/>
              <w:rPr>
                <w:b/>
                <w:sz w:val="14"/>
                <w:szCs w:val="14"/>
                <w:lang w:val="en-US"/>
              </w:rPr>
            </w:pPr>
          </w:p>
          <w:p w14:paraId="3CB9C774" w14:textId="77777777" w:rsidR="004B239B" w:rsidRPr="00F00D0E" w:rsidRDefault="004B239B" w:rsidP="004B239B">
            <w:pPr>
              <w:tabs>
                <w:tab w:val="center" w:pos="4513"/>
                <w:tab w:val="right" w:pos="9026"/>
              </w:tabs>
              <w:jc w:val="left"/>
              <w:rPr>
                <w:sz w:val="14"/>
                <w:szCs w:val="14"/>
                <w:lang w:val="en-US"/>
              </w:rPr>
            </w:pPr>
          </w:p>
          <w:p w14:paraId="3E25743F" w14:textId="77777777" w:rsidR="006A61DF" w:rsidRPr="00F00D0E" w:rsidRDefault="006A61DF" w:rsidP="006A61DF">
            <w:pPr>
              <w:tabs>
                <w:tab w:val="center" w:pos="4513"/>
                <w:tab w:val="right" w:pos="9026"/>
              </w:tabs>
              <w:jc w:val="left"/>
              <w:rPr>
                <w:sz w:val="14"/>
                <w:szCs w:val="14"/>
                <w:lang w:val="en-US"/>
              </w:rPr>
            </w:pPr>
          </w:p>
          <w:p w14:paraId="3DE97D30" w14:textId="77777777" w:rsidR="004B239B" w:rsidRPr="00F00D0E" w:rsidRDefault="004B239B" w:rsidP="004B239B">
            <w:pPr>
              <w:tabs>
                <w:tab w:val="center" w:pos="4513"/>
                <w:tab w:val="right" w:pos="9026"/>
              </w:tabs>
              <w:jc w:val="left"/>
              <w:rPr>
                <w:sz w:val="14"/>
                <w:szCs w:val="14"/>
                <w:lang w:val="en-US"/>
              </w:rPr>
            </w:pPr>
          </w:p>
        </w:tc>
      </w:tr>
      <w:tr w:rsidR="00547CF9" w:rsidRPr="00CF607D" w14:paraId="4AACB0EE" w14:textId="77777777" w:rsidTr="00F20A75">
        <w:trPr>
          <w:trHeight w:val="266"/>
        </w:trPr>
        <w:tc>
          <w:tcPr>
            <w:tcW w:w="8174" w:type="dxa"/>
            <w:tcMar>
              <w:top w:w="0" w:type="dxa"/>
              <w:left w:w="0" w:type="dxa"/>
              <w:bottom w:w="0" w:type="dxa"/>
              <w:right w:w="0" w:type="dxa"/>
            </w:tcMar>
          </w:tcPr>
          <w:p w14:paraId="6CF0DC4C" w14:textId="31EAE490" w:rsidR="00071754" w:rsidRPr="00F00D0E" w:rsidRDefault="006508AC" w:rsidP="004B239B">
            <w:pPr>
              <w:tabs>
                <w:tab w:val="left" w:pos="3270"/>
              </w:tabs>
              <w:jc w:val="left"/>
              <w:rPr>
                <w:rFonts w:eastAsia="Calibri" w:cs="Times New Roman"/>
                <w:szCs w:val="22"/>
                <w:u w:val="single"/>
                <w:lang w:val="en-US"/>
              </w:rPr>
            </w:pPr>
            <w:r w:rsidRPr="00F00D0E">
              <w:rPr>
                <w:rFonts w:eastAsia="Calibri" w:cs="Times New Roman"/>
                <w:color w:val="000000"/>
                <w:u w:val="single"/>
                <w:lang w:val="en-US"/>
              </w:rPr>
              <w:t>Weingarten, November 17, 2016</w:t>
            </w:r>
          </w:p>
          <w:p w14:paraId="2AB7A3D0" w14:textId="77777777" w:rsidR="008F7419" w:rsidRPr="00F00D0E" w:rsidRDefault="008F7419" w:rsidP="004B239B">
            <w:pPr>
              <w:tabs>
                <w:tab w:val="left" w:pos="3270"/>
              </w:tabs>
              <w:jc w:val="left"/>
              <w:rPr>
                <w:rFonts w:eastAsia="Calibri" w:cs="Times New Roman"/>
                <w:szCs w:val="22"/>
                <w:u w:val="single"/>
                <w:lang w:val="en-US"/>
              </w:rPr>
            </w:pPr>
          </w:p>
        </w:tc>
        <w:tc>
          <w:tcPr>
            <w:tcW w:w="2051" w:type="dxa"/>
            <w:vMerge w:val="restart"/>
            <w:tcMar>
              <w:top w:w="0" w:type="dxa"/>
              <w:left w:w="0" w:type="dxa"/>
              <w:bottom w:w="0" w:type="dxa"/>
              <w:right w:w="0" w:type="dxa"/>
            </w:tcMar>
          </w:tcPr>
          <w:p w14:paraId="59DA06B7" w14:textId="52523777" w:rsidR="008F7419" w:rsidRPr="00CF607D" w:rsidRDefault="00DB0401" w:rsidP="008F7419">
            <w:pPr>
              <w:tabs>
                <w:tab w:val="left" w:pos="709"/>
                <w:tab w:val="right" w:pos="2835"/>
              </w:tabs>
              <w:spacing w:line="200" w:lineRule="atLeast"/>
              <w:jc w:val="left"/>
              <w:rPr>
                <w:b/>
                <w:color w:val="auto"/>
                <w:sz w:val="14"/>
                <w:szCs w:val="14"/>
                <w:lang w:val="de-DE"/>
              </w:rPr>
            </w:pPr>
            <w:proofErr w:type="spellStart"/>
            <w:r w:rsidRPr="00CF607D">
              <w:rPr>
                <w:rFonts w:cs="Arial"/>
                <w:b/>
                <w:color w:val="auto"/>
                <w:sz w:val="14"/>
                <w:lang w:val="de-DE"/>
              </w:rPr>
              <w:t>Contact</w:t>
            </w:r>
            <w:proofErr w:type="spellEnd"/>
            <w:r w:rsidRPr="00CF607D">
              <w:rPr>
                <w:rFonts w:cs="Arial"/>
                <w:b/>
                <w:color w:val="auto"/>
                <w:sz w:val="14"/>
                <w:lang w:val="de-DE"/>
              </w:rPr>
              <w:t xml:space="preserve"> </w:t>
            </w:r>
            <w:proofErr w:type="spellStart"/>
            <w:r w:rsidRPr="00CF607D">
              <w:rPr>
                <w:rFonts w:cs="Arial"/>
                <w:b/>
                <w:color w:val="auto"/>
                <w:sz w:val="14"/>
                <w:lang w:val="de-DE"/>
              </w:rPr>
              <w:t>details</w:t>
            </w:r>
            <w:proofErr w:type="spellEnd"/>
            <w:r w:rsidRPr="00CF607D">
              <w:rPr>
                <w:rFonts w:cs="Arial"/>
                <w:b/>
                <w:color w:val="auto"/>
                <w:sz w:val="14"/>
                <w:lang w:val="de-DE"/>
              </w:rPr>
              <w:t>:</w:t>
            </w:r>
          </w:p>
          <w:p w14:paraId="1C4080E9" w14:textId="77777777" w:rsidR="008F7419" w:rsidRPr="00CF607D" w:rsidRDefault="008F7419" w:rsidP="008F7419">
            <w:pPr>
              <w:tabs>
                <w:tab w:val="left" w:pos="709"/>
                <w:tab w:val="right" w:pos="2835"/>
              </w:tabs>
              <w:spacing w:line="200" w:lineRule="atLeast"/>
              <w:jc w:val="left"/>
              <w:rPr>
                <w:b/>
                <w:color w:val="auto"/>
                <w:sz w:val="14"/>
                <w:szCs w:val="14"/>
                <w:lang w:val="de-DE"/>
              </w:rPr>
            </w:pPr>
          </w:p>
          <w:p w14:paraId="719E29BB" w14:textId="77777777" w:rsidR="008F7419" w:rsidRPr="00CF607D" w:rsidRDefault="008F7419" w:rsidP="008F7419">
            <w:pPr>
              <w:tabs>
                <w:tab w:val="left" w:pos="709"/>
                <w:tab w:val="right" w:pos="2835"/>
              </w:tabs>
              <w:spacing w:line="200" w:lineRule="atLeast"/>
              <w:jc w:val="left"/>
              <w:rPr>
                <w:color w:val="auto"/>
                <w:sz w:val="14"/>
                <w:szCs w:val="14"/>
                <w:lang w:val="de-DE"/>
              </w:rPr>
            </w:pPr>
            <w:r w:rsidRPr="00CF607D">
              <w:rPr>
                <w:rFonts w:cs="Arial"/>
                <w:color w:val="auto"/>
                <w:sz w:val="14"/>
                <w:lang w:val="de-DE"/>
              </w:rPr>
              <w:t>Franz-Beer-</w:t>
            </w:r>
            <w:proofErr w:type="spellStart"/>
            <w:r w:rsidRPr="00CF607D">
              <w:rPr>
                <w:rFonts w:cs="Arial"/>
                <w:color w:val="auto"/>
                <w:sz w:val="14"/>
                <w:lang w:val="de-DE"/>
              </w:rPr>
              <w:t>Strasse</w:t>
            </w:r>
            <w:proofErr w:type="spellEnd"/>
            <w:r w:rsidRPr="00CF607D">
              <w:rPr>
                <w:rFonts w:cs="Arial"/>
                <w:color w:val="auto"/>
                <w:sz w:val="14"/>
                <w:lang w:val="de-DE"/>
              </w:rPr>
              <w:t xml:space="preserve"> 111</w:t>
            </w:r>
          </w:p>
          <w:p w14:paraId="5BB3E8E3" w14:textId="77777777" w:rsidR="008F7419" w:rsidRPr="00CF607D" w:rsidRDefault="008F7419" w:rsidP="008F7419">
            <w:pPr>
              <w:tabs>
                <w:tab w:val="left" w:pos="709"/>
                <w:tab w:val="right" w:pos="2835"/>
              </w:tabs>
              <w:spacing w:line="200" w:lineRule="atLeast"/>
              <w:jc w:val="left"/>
              <w:rPr>
                <w:color w:val="auto"/>
                <w:sz w:val="14"/>
                <w:szCs w:val="14"/>
                <w:lang w:val="de-DE"/>
              </w:rPr>
            </w:pPr>
            <w:r w:rsidRPr="00CF607D">
              <w:rPr>
                <w:rFonts w:cs="Arial"/>
                <w:color w:val="auto"/>
                <w:sz w:val="14"/>
                <w:lang w:val="de-DE"/>
              </w:rPr>
              <w:t>88250 Weingarten</w:t>
            </w:r>
            <w:r w:rsidRPr="00CF607D">
              <w:rPr>
                <w:rFonts w:cs="Arial"/>
                <w:color w:val="auto"/>
                <w:sz w:val="14"/>
                <w:lang w:val="de-DE"/>
              </w:rPr>
              <w:br/>
              <w:t>Germany</w:t>
            </w:r>
          </w:p>
          <w:p w14:paraId="1FFA3358" w14:textId="77777777" w:rsidR="008F7419" w:rsidRPr="00CF607D" w:rsidRDefault="008F7419" w:rsidP="008F7419">
            <w:pPr>
              <w:tabs>
                <w:tab w:val="left" w:pos="709"/>
                <w:tab w:val="right" w:pos="2835"/>
              </w:tabs>
              <w:spacing w:line="200" w:lineRule="atLeast"/>
              <w:jc w:val="left"/>
              <w:rPr>
                <w:color w:val="auto"/>
                <w:sz w:val="14"/>
                <w:szCs w:val="14"/>
                <w:lang w:val="de-DE"/>
              </w:rPr>
            </w:pPr>
          </w:p>
          <w:p w14:paraId="5C907981" w14:textId="77777777" w:rsidR="008F7419" w:rsidRPr="004A1938" w:rsidRDefault="008F7419" w:rsidP="008F7419">
            <w:pPr>
              <w:tabs>
                <w:tab w:val="left" w:pos="709"/>
                <w:tab w:val="right" w:pos="2835"/>
              </w:tabs>
              <w:spacing w:line="200" w:lineRule="atLeast"/>
              <w:jc w:val="left"/>
              <w:rPr>
                <w:color w:val="auto"/>
                <w:sz w:val="14"/>
                <w:szCs w:val="14"/>
                <w:lang w:val="en-US"/>
              </w:rPr>
            </w:pPr>
            <w:r w:rsidRPr="004A1938">
              <w:rPr>
                <w:rFonts w:cs="Arial"/>
                <w:color w:val="auto"/>
                <w:sz w:val="14"/>
                <w:lang w:val="en-US"/>
              </w:rPr>
              <w:t>Tel: +49 (0)751 503 248</w:t>
            </w:r>
          </w:p>
          <w:p w14:paraId="2D922F18" w14:textId="77777777" w:rsidR="008F7419" w:rsidRPr="004A1938" w:rsidRDefault="008F7419" w:rsidP="008F7419">
            <w:pPr>
              <w:tabs>
                <w:tab w:val="left" w:pos="709"/>
                <w:tab w:val="right" w:pos="2835"/>
              </w:tabs>
              <w:spacing w:line="200" w:lineRule="atLeast"/>
              <w:jc w:val="left"/>
              <w:rPr>
                <w:color w:val="auto"/>
                <w:sz w:val="14"/>
                <w:szCs w:val="14"/>
                <w:lang w:val="en-US"/>
              </w:rPr>
            </w:pPr>
            <w:r w:rsidRPr="004A1938">
              <w:rPr>
                <w:rFonts w:cs="Arial"/>
                <w:color w:val="auto"/>
                <w:sz w:val="14"/>
                <w:lang w:val="en-US"/>
              </w:rPr>
              <w:t>Fax: +49 (0)751 503 7248</w:t>
            </w:r>
          </w:p>
          <w:p w14:paraId="5C256E67" w14:textId="6414A6A7" w:rsidR="008F7419" w:rsidRPr="004A1938" w:rsidRDefault="00DB0401" w:rsidP="008F7419">
            <w:pPr>
              <w:tabs>
                <w:tab w:val="left" w:pos="709"/>
                <w:tab w:val="right" w:pos="2835"/>
              </w:tabs>
              <w:spacing w:line="200" w:lineRule="atLeast"/>
              <w:jc w:val="left"/>
              <w:rPr>
                <w:color w:val="auto"/>
                <w:sz w:val="14"/>
                <w:szCs w:val="14"/>
                <w:lang w:val="en-US"/>
              </w:rPr>
            </w:pPr>
            <w:r w:rsidRPr="004A1938">
              <w:rPr>
                <w:rFonts w:cs="Arial"/>
                <w:color w:val="auto"/>
                <w:sz w:val="14"/>
                <w:lang w:val="en-US"/>
              </w:rPr>
              <w:t xml:space="preserve">Cell: +49 (0)172 667 1341 </w:t>
            </w:r>
          </w:p>
          <w:p w14:paraId="23095896" w14:textId="77777777" w:rsidR="008F7419" w:rsidRPr="004A1938" w:rsidRDefault="008F7419" w:rsidP="008F7419">
            <w:pPr>
              <w:tabs>
                <w:tab w:val="left" w:pos="709"/>
                <w:tab w:val="right" w:pos="2835"/>
              </w:tabs>
              <w:spacing w:line="200" w:lineRule="atLeast"/>
              <w:jc w:val="left"/>
              <w:rPr>
                <w:color w:val="auto"/>
                <w:sz w:val="14"/>
                <w:szCs w:val="14"/>
                <w:lang w:val="en-US"/>
              </w:rPr>
            </w:pPr>
            <w:proofErr w:type="spellStart"/>
            <w:r w:rsidRPr="004A1938">
              <w:rPr>
                <w:rFonts w:cs="Arial"/>
                <w:color w:val="auto"/>
                <w:sz w:val="14"/>
                <w:lang w:val="en-US"/>
              </w:rPr>
              <w:t>matthias.steybe@chg</w:t>
            </w:r>
            <w:proofErr w:type="spellEnd"/>
            <w:r w:rsidRPr="004A1938">
              <w:rPr>
                <w:rFonts w:cs="Arial"/>
                <w:color w:val="auto"/>
                <w:sz w:val="14"/>
                <w:lang w:val="en-US"/>
              </w:rPr>
              <w:t>-</w:t>
            </w:r>
          </w:p>
          <w:p w14:paraId="38982CF0" w14:textId="77777777" w:rsidR="008F7419" w:rsidRPr="004A1938" w:rsidRDefault="008F7419" w:rsidP="008F7419">
            <w:pPr>
              <w:tabs>
                <w:tab w:val="left" w:pos="709"/>
                <w:tab w:val="right" w:pos="2835"/>
              </w:tabs>
              <w:spacing w:line="200" w:lineRule="atLeast"/>
              <w:jc w:val="left"/>
              <w:rPr>
                <w:color w:val="auto"/>
                <w:sz w:val="14"/>
                <w:szCs w:val="14"/>
                <w:lang w:val="en-US"/>
              </w:rPr>
            </w:pPr>
            <w:r w:rsidRPr="004A1938">
              <w:rPr>
                <w:rFonts w:cs="Arial"/>
                <w:color w:val="auto"/>
                <w:sz w:val="14"/>
                <w:lang w:val="en-US"/>
              </w:rPr>
              <w:t>meridian.de</w:t>
            </w:r>
          </w:p>
          <w:p w14:paraId="4100C0BD" w14:textId="77777777" w:rsidR="008F7419" w:rsidRPr="004A1938" w:rsidRDefault="008F7419" w:rsidP="008F7419">
            <w:pPr>
              <w:tabs>
                <w:tab w:val="left" w:pos="709"/>
                <w:tab w:val="right" w:pos="2835"/>
              </w:tabs>
              <w:spacing w:line="200" w:lineRule="atLeast"/>
              <w:jc w:val="left"/>
              <w:rPr>
                <w:color w:val="auto"/>
                <w:sz w:val="14"/>
                <w:szCs w:val="14"/>
                <w:lang w:val="en-US"/>
              </w:rPr>
            </w:pPr>
          </w:p>
          <w:p w14:paraId="7FB12A32" w14:textId="54EEEC6C" w:rsidR="00547CF9" w:rsidRPr="004A1938" w:rsidRDefault="008F7419" w:rsidP="008F7419">
            <w:pPr>
              <w:tabs>
                <w:tab w:val="center" w:pos="4513"/>
                <w:tab w:val="right" w:pos="9026"/>
              </w:tabs>
              <w:jc w:val="left"/>
              <w:rPr>
                <w:sz w:val="14"/>
                <w:szCs w:val="14"/>
                <w:lang w:val="en-US"/>
              </w:rPr>
            </w:pPr>
            <w:r w:rsidRPr="004A1938">
              <w:rPr>
                <w:rFonts w:cs="Arial"/>
                <w:color w:val="auto"/>
                <w:sz w:val="14"/>
                <w:lang w:val="en-US"/>
              </w:rPr>
              <w:t>www.chg-meridian.com</w:t>
            </w:r>
          </w:p>
        </w:tc>
      </w:tr>
      <w:tr w:rsidR="00547CF9" w:rsidRPr="00F00D0E" w14:paraId="515BAC74" w14:textId="77777777" w:rsidTr="00F20A75">
        <w:trPr>
          <w:trHeight w:val="237"/>
        </w:trPr>
        <w:tc>
          <w:tcPr>
            <w:tcW w:w="8174" w:type="dxa"/>
            <w:tcMar>
              <w:top w:w="0" w:type="dxa"/>
              <w:left w:w="0" w:type="dxa"/>
              <w:bottom w:w="0" w:type="dxa"/>
              <w:right w:w="284" w:type="dxa"/>
            </w:tcMar>
          </w:tcPr>
          <w:p w14:paraId="3FC9CF14" w14:textId="64F8FC3E" w:rsidR="000C5939" w:rsidRPr="00F00D0E" w:rsidRDefault="00446FAA" w:rsidP="0019557C">
            <w:pPr>
              <w:rPr>
                <w:lang w:val="en-US"/>
              </w:rPr>
            </w:pPr>
            <w:r w:rsidRPr="00F00D0E">
              <w:rPr>
                <w:rFonts w:cs="Arial"/>
                <w:color w:val="000000"/>
                <w:lang w:val="en-US"/>
              </w:rPr>
              <w:t xml:space="preserve">The digital skills of German employees are improving too slowly. One reason is unequal access to the latest technological devices. However, there is a willingness to engage with them, including in the private sphere. Those are the results of the recently published 2016 D21 Digital Index. The onus is now on employers, above all, to actively promote the availability and use of the latest information technology among their employees and their families – and thereby to develop the skills that are badly needed for new, often data-based business models. Companies have an urgent need for both. </w:t>
            </w:r>
          </w:p>
          <w:p w14:paraId="50A51E94" w14:textId="77777777" w:rsidR="000C5939" w:rsidRPr="00F00D0E" w:rsidRDefault="000C5939" w:rsidP="0019557C">
            <w:pPr>
              <w:rPr>
                <w:lang w:val="en-US"/>
              </w:rPr>
            </w:pPr>
          </w:p>
          <w:p w14:paraId="06095940" w14:textId="71D0CE04" w:rsidR="00446FAA" w:rsidRDefault="00446FAA" w:rsidP="0019557C">
            <w:pPr>
              <w:rPr>
                <w:rFonts w:cs="Arial"/>
                <w:color w:val="000000"/>
                <w:lang w:val="en-US"/>
              </w:rPr>
            </w:pPr>
            <w:r w:rsidRPr="00F00D0E">
              <w:rPr>
                <w:rFonts w:cs="Arial"/>
                <w:color w:val="000000"/>
                <w:lang w:val="en-US"/>
              </w:rPr>
              <w:t xml:space="preserve">"It is imperative that employees everywhere and across all professional groups gain access to the latest technology in future. That was the original idea behind the Employee PC Program, and it has also been the motivation for D21 in supporting this program for a number of years. The new study shows that it is more important than ever today," commented Frank </w:t>
            </w:r>
            <w:proofErr w:type="spellStart"/>
            <w:r w:rsidRPr="00F00D0E">
              <w:rPr>
                <w:rFonts w:cs="Arial"/>
                <w:color w:val="000000"/>
                <w:lang w:val="en-US"/>
              </w:rPr>
              <w:t>Kottmann</w:t>
            </w:r>
            <w:proofErr w:type="spellEnd"/>
            <w:r w:rsidRPr="00F00D0E">
              <w:rPr>
                <w:rFonts w:cs="Arial"/>
                <w:color w:val="000000"/>
                <w:lang w:val="en-US"/>
              </w:rPr>
              <w:t>, member of the Board of Management of CHG-MERIDIAN AG. The company is an official partner of the 2016 D21 Digital Index, and a member of the D21 Initiative. The D21 Initiative, which is supported by the German federal government, has been compiling its index since 2013 to measure how 'digital' the Germans are – and where there are gaps remaining.</w:t>
            </w:r>
          </w:p>
          <w:p w14:paraId="727C63F7" w14:textId="3460D572" w:rsidR="00CF607D" w:rsidRDefault="00CF607D" w:rsidP="0019557C">
            <w:pPr>
              <w:rPr>
                <w:rFonts w:cs="Arial"/>
                <w:color w:val="000000"/>
                <w:lang w:val="en-US"/>
              </w:rPr>
            </w:pPr>
          </w:p>
          <w:p w14:paraId="4C6ED28F" w14:textId="04F4F49C" w:rsidR="00446FAA" w:rsidRDefault="00CF607D" w:rsidP="0019557C">
            <w:pPr>
              <w:rPr>
                <w:lang w:val="en-US"/>
              </w:rPr>
            </w:pPr>
            <w:r>
              <w:rPr>
                <w:lang w:val="en-US"/>
              </w:rPr>
              <w:t>The essentials in brief:</w:t>
            </w:r>
          </w:p>
          <w:p w14:paraId="7F76FA8F" w14:textId="7DCC40E8" w:rsidR="00B0444F" w:rsidRPr="00F00D0E" w:rsidRDefault="00B0444F" w:rsidP="005571B7">
            <w:pPr>
              <w:rPr>
                <w:lang w:val="en-US"/>
              </w:rPr>
            </w:pPr>
          </w:p>
          <w:p w14:paraId="75A0B8E8" w14:textId="7B59269F" w:rsidR="000C5939" w:rsidRPr="00F00D0E" w:rsidRDefault="000C5939" w:rsidP="000C5939">
            <w:pPr>
              <w:rPr>
                <w:b/>
                <w:lang w:val="en-US"/>
              </w:rPr>
            </w:pPr>
            <w:r w:rsidRPr="00F00D0E">
              <w:rPr>
                <w:rFonts w:cs="Arial"/>
                <w:b/>
                <w:color w:val="000000"/>
                <w:lang w:val="en-US"/>
              </w:rPr>
              <w:t>People in work are the more 'digital' Germans – but not all of them</w:t>
            </w:r>
          </w:p>
          <w:p w14:paraId="35421960" w14:textId="77777777" w:rsidR="00CF607D" w:rsidRPr="00CF607D"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People in work are more familiar with terms relating to digital topics, for example: app (difference: 32 percent), cookies (difference: 27 percent) and cloud (difference: 23 percent). </w:t>
            </w:r>
          </w:p>
          <w:p w14:paraId="6184DA3D" w14:textId="16FE4FA5"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91 percent of those in work use the internet, compared to only 65 percent of people who do not have a job.</w:t>
            </w:r>
          </w:p>
          <w:p w14:paraId="392FFA56" w14:textId="77777777"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Only 70 percent of those in work are using mobile internet, either for their job or privately. </w:t>
            </w:r>
          </w:p>
          <w:p w14:paraId="0397942E" w14:textId="77777777" w:rsidR="00CF607D" w:rsidRPr="00CF607D"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78 percent of Germans acquire digital skills by themselves through trial and error. </w:t>
            </w:r>
          </w:p>
          <w:p w14:paraId="34AAA620" w14:textId="598FFADB"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84 percent of those questioned believe that professional success requires life-long learning.</w:t>
            </w:r>
          </w:p>
          <w:p w14:paraId="1CDBC8A9" w14:textId="04AE069C"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A mere 38 percent of employees receive training </w:t>
            </w:r>
            <w:r w:rsidR="00CF607D">
              <w:rPr>
                <w:rFonts w:cs="Arial"/>
                <w:i/>
                <w:color w:val="000000"/>
                <w:lang w:val="en-US"/>
              </w:rPr>
              <w:t xml:space="preserve">in digital matters </w:t>
            </w:r>
            <w:r w:rsidRPr="00F00D0E">
              <w:rPr>
                <w:rFonts w:cs="Arial"/>
                <w:i/>
                <w:color w:val="000000"/>
                <w:lang w:val="en-US"/>
              </w:rPr>
              <w:t>from their employer.</w:t>
            </w:r>
          </w:p>
          <w:p w14:paraId="47B544F9" w14:textId="77777777" w:rsidR="00E91982" w:rsidRDefault="00E91982" w:rsidP="000C5939">
            <w:pPr>
              <w:rPr>
                <w:rFonts w:cs="Arial"/>
                <w:b/>
                <w:color w:val="000000"/>
                <w:lang w:val="en-US"/>
              </w:rPr>
            </w:pPr>
          </w:p>
          <w:p w14:paraId="67EA6C11" w14:textId="104FE7FF" w:rsidR="000C5939" w:rsidRPr="00F00D0E" w:rsidRDefault="000C5939" w:rsidP="000C5939">
            <w:pPr>
              <w:rPr>
                <w:b/>
                <w:lang w:val="en-US"/>
              </w:rPr>
            </w:pPr>
            <w:r w:rsidRPr="00F00D0E">
              <w:rPr>
                <w:rFonts w:cs="Arial"/>
                <w:b/>
                <w:color w:val="000000"/>
                <w:lang w:val="en-US"/>
              </w:rPr>
              <w:lastRenderedPageBreak/>
              <w:t>Men are ahead in terms of digitalization – because women are disadvantaged professionally</w:t>
            </w:r>
          </w:p>
          <w:p w14:paraId="3388D80A" w14:textId="77777777"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Almost three quarters of women (73 percent) and more than two thirds of men (68 percent) take advantage of the opportunity to make personal use of devices they receive as part of their jobs. </w:t>
            </w:r>
          </w:p>
          <w:p w14:paraId="6819B2DC" w14:textId="44CE00B6" w:rsidR="000C5939" w:rsidRPr="00F00D0E"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The</w:t>
            </w:r>
            <w:r w:rsidR="00CF607D">
              <w:rPr>
                <w:rFonts w:cs="Arial"/>
                <w:i/>
                <w:color w:val="000000"/>
                <w:lang w:val="en-US"/>
              </w:rPr>
              <w:t xml:space="preserve"> digital</w:t>
            </w:r>
            <w:r w:rsidRPr="00F00D0E">
              <w:rPr>
                <w:rFonts w:cs="Arial"/>
                <w:i/>
                <w:color w:val="000000"/>
                <w:lang w:val="en-US"/>
              </w:rPr>
              <w:t xml:space="preserve"> index value for women is 46, for men it is 56. </w:t>
            </w:r>
          </w:p>
          <w:p w14:paraId="688DA9C3" w14:textId="46C85CEE" w:rsidR="000C5939" w:rsidRPr="00E91982" w:rsidRDefault="000C5939" w:rsidP="00E91982">
            <w:pPr>
              <w:pStyle w:val="Listenabsatz"/>
              <w:numPr>
                <w:ilvl w:val="0"/>
                <w:numId w:val="12"/>
              </w:numPr>
              <w:spacing w:after="200" w:line="276" w:lineRule="auto"/>
              <w:jc w:val="left"/>
              <w:rPr>
                <w:i/>
                <w:lang w:val="en-US"/>
              </w:rPr>
            </w:pPr>
            <w:r w:rsidRPr="00F00D0E">
              <w:rPr>
                <w:rFonts w:cs="Arial"/>
                <w:i/>
                <w:color w:val="000000"/>
                <w:lang w:val="en-US"/>
              </w:rPr>
              <w:t xml:space="preserve">At work, men have far more frequent access to digital end devices and programs than women. 41 percent of women questioned for the survey who had desk/office jobs stated that they were not provided with any of the tools listed, compared to 22 percent of male participants in the study. </w:t>
            </w:r>
          </w:p>
          <w:p w14:paraId="0FA20129" w14:textId="77777777" w:rsidR="00E91982" w:rsidRPr="00F00D0E" w:rsidRDefault="00E91982" w:rsidP="00E91982">
            <w:pPr>
              <w:pStyle w:val="Listenabsatz"/>
              <w:spacing w:after="200" w:line="276" w:lineRule="auto"/>
              <w:ind w:left="360"/>
              <w:jc w:val="left"/>
              <w:rPr>
                <w:i/>
                <w:lang w:val="en-US"/>
              </w:rPr>
            </w:pPr>
          </w:p>
          <w:p w14:paraId="0B7B4A9B" w14:textId="7A616E5D" w:rsidR="009F5933" w:rsidRPr="00F00D0E" w:rsidRDefault="00DB43C2" w:rsidP="009F5933">
            <w:pPr>
              <w:rPr>
                <w:b/>
                <w:lang w:val="en-US"/>
              </w:rPr>
            </w:pPr>
            <w:r w:rsidRPr="00F00D0E">
              <w:rPr>
                <w:rFonts w:cs="Arial"/>
                <w:b/>
                <w:color w:val="000000"/>
                <w:lang w:val="en-US"/>
              </w:rPr>
              <w:t>Higher income, more digitalization</w:t>
            </w:r>
          </w:p>
          <w:p w14:paraId="4DBA4129" w14:textId="564C2B54"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 xml:space="preserve">The higher their net household income, the more likely it is that employees are making use of systematic tutorials and training. Generally only one percent of the higher earners do not receive any training. </w:t>
            </w:r>
          </w:p>
          <w:p w14:paraId="7D6293DD" w14:textId="51806DD0"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Up to a net household monthly income of €1,000, 59 percent are using the internet, up to €2,000 it is 67 percent, up to €3,000 86 percent and above €3,000 94 percent</w:t>
            </w:r>
            <w:r w:rsidR="00CF607D">
              <w:rPr>
                <w:rFonts w:cs="Arial"/>
                <w:i/>
                <w:color w:val="000000"/>
                <w:lang w:val="en-US"/>
              </w:rPr>
              <w:t>.</w:t>
            </w:r>
            <w:r w:rsidRPr="00F00D0E">
              <w:rPr>
                <w:rFonts w:cs="Arial"/>
                <w:i/>
                <w:color w:val="000000"/>
                <w:lang w:val="en-US"/>
              </w:rPr>
              <w:t xml:space="preserve"> </w:t>
            </w:r>
          </w:p>
          <w:p w14:paraId="51A88418" w14:textId="7E248D46"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 xml:space="preserve">The higher the net household income, the more use is being made of digital commerce options. Of those questioned who lived in a household with a net monthly income of at least €3,000, 69 percent regularly used internet shopping.  </w:t>
            </w:r>
          </w:p>
          <w:p w14:paraId="58191298" w14:textId="77777777" w:rsidR="009F5933" w:rsidRPr="00F00D0E" w:rsidRDefault="009F5933" w:rsidP="009F5933">
            <w:pPr>
              <w:rPr>
                <w:lang w:val="en-US"/>
              </w:rPr>
            </w:pPr>
          </w:p>
          <w:p w14:paraId="7329ED42" w14:textId="54C27734" w:rsidR="00DB43C2" w:rsidRPr="00F00D0E" w:rsidRDefault="00DB43C2" w:rsidP="00DB43C2">
            <w:pPr>
              <w:rPr>
                <w:b/>
                <w:lang w:val="en-US"/>
              </w:rPr>
            </w:pPr>
            <w:proofErr w:type="spellStart"/>
            <w:r w:rsidRPr="00F00D0E">
              <w:rPr>
                <w:rFonts w:cs="Arial"/>
                <w:b/>
                <w:color w:val="000000"/>
                <w:lang w:val="en-US"/>
              </w:rPr>
              <w:t>Offliners</w:t>
            </w:r>
            <w:proofErr w:type="spellEnd"/>
            <w:r w:rsidRPr="00F00D0E">
              <w:rPr>
                <w:rFonts w:cs="Arial"/>
                <w:b/>
                <w:color w:val="000000"/>
                <w:lang w:val="en-US"/>
              </w:rPr>
              <w:t xml:space="preserve"> – they still exist</w:t>
            </w:r>
          </w:p>
          <w:p w14:paraId="3F7FE5E8" w14:textId="24092D87"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31 percent of those aged between 60 and 69, and 21 percent of the population overall, are still offline.</w:t>
            </w:r>
          </w:p>
          <w:p w14:paraId="28A3D51E" w14:textId="0F246139"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34 percent of the total population are making do without a smartphone.</w:t>
            </w:r>
          </w:p>
          <w:p w14:paraId="30339F97" w14:textId="13A0FEC1"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 xml:space="preserve">26 percent state that the loss of internet access would have a very negative impact on their daily lives. </w:t>
            </w:r>
          </w:p>
          <w:p w14:paraId="4D968F6D" w14:textId="6C53F456" w:rsidR="00DB43C2" w:rsidRPr="00F00D0E" w:rsidRDefault="00DB43C2" w:rsidP="00E91982">
            <w:pPr>
              <w:pStyle w:val="Listenabsatz"/>
              <w:numPr>
                <w:ilvl w:val="0"/>
                <w:numId w:val="12"/>
              </w:numPr>
              <w:spacing w:after="200" w:line="276" w:lineRule="auto"/>
              <w:jc w:val="left"/>
              <w:rPr>
                <w:i/>
                <w:lang w:val="en-US"/>
              </w:rPr>
            </w:pPr>
            <w:r w:rsidRPr="00F00D0E">
              <w:rPr>
                <w:rFonts w:cs="Arial"/>
                <w:i/>
                <w:color w:val="000000"/>
                <w:lang w:val="en-US"/>
              </w:rPr>
              <w:t>Fewer and fewer people (</w:t>
            </w:r>
            <w:proofErr w:type="spellStart"/>
            <w:r w:rsidRPr="00F00D0E">
              <w:rPr>
                <w:rFonts w:cs="Arial"/>
                <w:i/>
                <w:color w:val="000000"/>
                <w:lang w:val="en-US"/>
              </w:rPr>
              <w:t>offliners</w:t>
            </w:r>
            <w:proofErr w:type="spellEnd"/>
            <w:r w:rsidRPr="00F00D0E">
              <w:rPr>
                <w:rFonts w:cs="Arial"/>
                <w:i/>
                <w:color w:val="000000"/>
                <w:lang w:val="en-US"/>
              </w:rPr>
              <w:t xml:space="preserve">) make reference to internet use being: too complicated (-8 percent), too unsafe (-7 percent) or too expensive (-10 percent). </w:t>
            </w:r>
          </w:p>
          <w:p w14:paraId="03174703" w14:textId="73189251" w:rsidR="000C5939" w:rsidRPr="00F00D0E" w:rsidRDefault="000C5939" w:rsidP="005571B7">
            <w:pPr>
              <w:rPr>
                <w:lang w:val="en-US"/>
              </w:rPr>
            </w:pPr>
          </w:p>
          <w:p w14:paraId="2F0C00A1" w14:textId="77777777" w:rsidR="000C5939" w:rsidRPr="00F00D0E" w:rsidRDefault="000C5939" w:rsidP="005571B7">
            <w:pPr>
              <w:rPr>
                <w:lang w:val="en-US"/>
              </w:rPr>
            </w:pPr>
          </w:p>
          <w:p w14:paraId="146B3340" w14:textId="77777777" w:rsidR="005571B7" w:rsidRPr="00F00D0E" w:rsidRDefault="005571B7" w:rsidP="005571B7">
            <w:pPr>
              <w:rPr>
                <w:lang w:val="en-US"/>
              </w:rPr>
            </w:pPr>
            <w:r w:rsidRPr="00F00D0E">
              <w:rPr>
                <w:rFonts w:cs="Arial"/>
                <w:color w:val="000000"/>
                <w:lang w:val="en-US"/>
              </w:rPr>
              <w:t xml:space="preserve">Further information and photos can be found at </w:t>
            </w:r>
            <w:hyperlink r:id="rId8" w:history="1">
              <w:r w:rsidRPr="00F00D0E">
                <w:rPr>
                  <w:rStyle w:val="Hyperlink"/>
                  <w:rFonts w:cs="Arial"/>
                  <w:b/>
                  <w:color w:val="auto"/>
                  <w:lang w:val="en-US"/>
                </w:rPr>
                <w:t>www.chg-meridian.com</w:t>
              </w:r>
            </w:hyperlink>
            <w:r w:rsidRPr="00F00D0E">
              <w:rPr>
                <w:rFonts w:cs="Arial"/>
                <w:color w:val="000000"/>
                <w:lang w:val="en-US"/>
              </w:rPr>
              <w:t xml:space="preserve"> </w:t>
            </w:r>
          </w:p>
          <w:p w14:paraId="6F99E08F" w14:textId="77777777" w:rsidR="005571B7" w:rsidRPr="00F00D0E" w:rsidRDefault="005571B7" w:rsidP="005571B7">
            <w:pPr>
              <w:rPr>
                <w:rFonts w:asciiTheme="majorHAnsi" w:hAnsiTheme="majorHAnsi" w:cstheme="majorHAnsi"/>
                <w:lang w:val="en-US"/>
              </w:rPr>
            </w:pPr>
          </w:p>
          <w:p w14:paraId="409BC70F" w14:textId="38AC3A38" w:rsidR="00876DAC" w:rsidRDefault="00876DAC" w:rsidP="005571B7">
            <w:pPr>
              <w:rPr>
                <w:rFonts w:asciiTheme="majorHAnsi" w:hAnsiTheme="majorHAnsi" w:cstheme="majorHAnsi"/>
                <w:lang w:val="en-US"/>
              </w:rPr>
            </w:pPr>
          </w:p>
          <w:p w14:paraId="4242373B" w14:textId="2B48E8DC" w:rsidR="00E91982" w:rsidRDefault="00E91982" w:rsidP="005571B7">
            <w:pPr>
              <w:rPr>
                <w:rFonts w:asciiTheme="majorHAnsi" w:hAnsiTheme="majorHAnsi" w:cstheme="majorHAnsi"/>
                <w:lang w:val="en-US"/>
              </w:rPr>
            </w:pPr>
          </w:p>
          <w:p w14:paraId="271A078E" w14:textId="13FFA0E8" w:rsidR="00E91982" w:rsidRDefault="00E91982" w:rsidP="005571B7">
            <w:pPr>
              <w:rPr>
                <w:rFonts w:asciiTheme="majorHAnsi" w:hAnsiTheme="majorHAnsi" w:cstheme="majorHAnsi"/>
                <w:lang w:val="en-US"/>
              </w:rPr>
            </w:pPr>
          </w:p>
          <w:p w14:paraId="50CC95F5" w14:textId="087CA5DB" w:rsidR="00C56893" w:rsidRDefault="00C56893" w:rsidP="005571B7">
            <w:pPr>
              <w:rPr>
                <w:rFonts w:asciiTheme="majorHAnsi" w:hAnsiTheme="majorHAnsi" w:cstheme="majorHAnsi"/>
                <w:lang w:val="en-US"/>
              </w:rPr>
            </w:pPr>
          </w:p>
          <w:p w14:paraId="30F3767C" w14:textId="2EF268C7" w:rsidR="00C56893" w:rsidRDefault="00C56893" w:rsidP="005571B7">
            <w:pPr>
              <w:rPr>
                <w:rFonts w:asciiTheme="majorHAnsi" w:hAnsiTheme="majorHAnsi" w:cstheme="majorHAnsi"/>
                <w:lang w:val="en-US"/>
              </w:rPr>
            </w:pPr>
          </w:p>
          <w:p w14:paraId="24AA600E" w14:textId="4280658E" w:rsidR="00C56893" w:rsidRDefault="00C56893" w:rsidP="005571B7">
            <w:pPr>
              <w:rPr>
                <w:rFonts w:asciiTheme="majorHAnsi" w:hAnsiTheme="majorHAnsi" w:cstheme="majorHAnsi"/>
                <w:lang w:val="en-US"/>
              </w:rPr>
            </w:pPr>
          </w:p>
          <w:p w14:paraId="52C4D652" w14:textId="6FF6671F" w:rsidR="00C56893" w:rsidRDefault="00C56893" w:rsidP="005571B7">
            <w:pPr>
              <w:rPr>
                <w:rFonts w:asciiTheme="majorHAnsi" w:hAnsiTheme="majorHAnsi" w:cstheme="majorHAnsi"/>
                <w:lang w:val="en-US"/>
              </w:rPr>
            </w:pPr>
            <w:bookmarkStart w:id="0" w:name="_GoBack"/>
            <w:bookmarkEnd w:id="0"/>
          </w:p>
          <w:p w14:paraId="5ADF0CDE" w14:textId="77777777" w:rsidR="00C56893" w:rsidRDefault="00C56893" w:rsidP="005571B7">
            <w:pPr>
              <w:rPr>
                <w:rFonts w:asciiTheme="majorHAnsi" w:hAnsiTheme="majorHAnsi" w:cstheme="majorHAnsi"/>
                <w:lang w:val="en-US"/>
              </w:rPr>
            </w:pPr>
          </w:p>
          <w:p w14:paraId="23EA96C2" w14:textId="69D5C54E" w:rsidR="00E91982" w:rsidRDefault="00E91982" w:rsidP="005571B7">
            <w:pPr>
              <w:rPr>
                <w:rFonts w:asciiTheme="majorHAnsi" w:hAnsiTheme="majorHAnsi" w:cstheme="majorHAnsi"/>
                <w:lang w:val="en-US"/>
              </w:rPr>
            </w:pPr>
          </w:p>
          <w:p w14:paraId="48FF42E3" w14:textId="77777777" w:rsidR="00E91982" w:rsidRPr="00F00D0E" w:rsidRDefault="00E91982" w:rsidP="005571B7">
            <w:pPr>
              <w:rPr>
                <w:rFonts w:asciiTheme="majorHAnsi" w:hAnsiTheme="majorHAnsi" w:cstheme="majorHAnsi"/>
                <w:lang w:val="en-US"/>
              </w:rPr>
            </w:pPr>
          </w:p>
          <w:p w14:paraId="7D48C4A2" w14:textId="3EB6CA4E" w:rsidR="00071754" w:rsidRPr="00F00D0E" w:rsidRDefault="00071754" w:rsidP="00E72815">
            <w:pPr>
              <w:rPr>
                <w:rFonts w:asciiTheme="majorHAnsi" w:hAnsiTheme="majorHAnsi" w:cstheme="majorHAnsi"/>
                <w:lang w:val="en-US"/>
              </w:rPr>
            </w:pPr>
          </w:p>
        </w:tc>
        <w:tc>
          <w:tcPr>
            <w:tcW w:w="2051" w:type="dxa"/>
            <w:vMerge/>
            <w:tcMar>
              <w:top w:w="0" w:type="dxa"/>
              <w:left w:w="0" w:type="dxa"/>
              <w:bottom w:w="0" w:type="dxa"/>
              <w:right w:w="284" w:type="dxa"/>
            </w:tcMar>
          </w:tcPr>
          <w:p w14:paraId="6BAC7043" w14:textId="77777777" w:rsidR="00547CF9" w:rsidRPr="00F00D0E" w:rsidRDefault="00547CF9" w:rsidP="00547CF9">
            <w:pPr>
              <w:rPr>
                <w:szCs w:val="14"/>
                <w:lang w:val="en-US"/>
              </w:rPr>
            </w:pPr>
          </w:p>
        </w:tc>
      </w:tr>
    </w:tbl>
    <w:p w14:paraId="1035EF2C" w14:textId="77777777" w:rsidR="00F20A75" w:rsidRPr="00F00D0E" w:rsidRDefault="00F20A75" w:rsidP="00F20A75">
      <w:pPr>
        <w:rPr>
          <w:b/>
          <w:sz w:val="14"/>
          <w:lang w:val="en-US"/>
        </w:rPr>
      </w:pPr>
      <w:r w:rsidRPr="00F00D0E">
        <w:rPr>
          <w:rFonts w:cs="Arial"/>
          <w:b/>
          <w:sz w:val="14"/>
          <w:lang w:val="en-US"/>
        </w:rPr>
        <w:t>About CHG-MERIDIAN</w:t>
      </w:r>
    </w:p>
    <w:p w14:paraId="00253073" w14:textId="77777777" w:rsidR="00F20A75" w:rsidRPr="00F00D0E" w:rsidRDefault="00F20A75" w:rsidP="00F20A75">
      <w:pPr>
        <w:rPr>
          <w:sz w:val="14"/>
          <w:lang w:val="en-US"/>
        </w:rPr>
      </w:pPr>
    </w:p>
    <w:p w14:paraId="2DC05E81" w14:textId="77777777" w:rsidR="00F20A75" w:rsidRPr="00F00D0E" w:rsidRDefault="00F20A75" w:rsidP="00F20A75">
      <w:pPr>
        <w:rPr>
          <w:sz w:val="14"/>
          <w:lang w:val="en-US"/>
        </w:rPr>
      </w:pPr>
      <w:r w:rsidRPr="00F00D0E">
        <w:rPr>
          <w:rFonts w:cs="Arial"/>
          <w:sz w:val="14"/>
          <w:lang w:val="en-US"/>
        </w:rPr>
        <w:t>CHG-MERIDIAN is one of the world's leading non-captive providers of technology management in the fields of IT, industry, and healthcare. The Company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11,000 customers around the world and manages technology investments in excess of €4.4 billion. TESMA</w:t>
      </w:r>
      <w:r w:rsidRPr="00F00D0E">
        <w:rPr>
          <w:rFonts w:cs="Arial"/>
          <w:sz w:val="14"/>
          <w:vertAlign w:val="superscript"/>
          <w:lang w:val="en-US"/>
        </w:rPr>
        <w:t>®</w:t>
      </w:r>
      <w:r w:rsidRPr="00F00D0E">
        <w:rPr>
          <w:rFonts w:cs="Arial"/>
          <w:sz w:val="14"/>
          <w:lang w:val="en-US"/>
        </w:rPr>
        <w:t>, an online technology and service management system, ensures maximum transparency in managing technology portfolios and has more than 10,000 users. The Company has a global presence with 36 sites in 23 countries and is headquartered in Weingarten, southern Germany.</w:t>
      </w:r>
    </w:p>
    <w:p w14:paraId="47F65394" w14:textId="77777777" w:rsidR="00F20A75" w:rsidRPr="00F00D0E" w:rsidRDefault="00F20A75" w:rsidP="00F20A75">
      <w:pPr>
        <w:rPr>
          <w:sz w:val="14"/>
          <w:lang w:val="en-US"/>
        </w:rPr>
      </w:pPr>
    </w:p>
    <w:p w14:paraId="34C8361F" w14:textId="4FF13F63" w:rsidR="005571B7" w:rsidRPr="00F00D0E" w:rsidRDefault="00F20A75" w:rsidP="00F20A75">
      <w:pPr>
        <w:rPr>
          <w:lang w:val="en-US"/>
        </w:rPr>
      </w:pPr>
      <w:r w:rsidRPr="00F00D0E">
        <w:rPr>
          <w:rFonts w:cs="Arial"/>
          <w:sz w:val="14"/>
          <w:lang w:val="en-US"/>
        </w:rPr>
        <w:t>Efficient Technology Management</w:t>
      </w:r>
      <w:r w:rsidRPr="00F00D0E">
        <w:rPr>
          <w:rFonts w:cs="Arial"/>
          <w:sz w:val="14"/>
          <w:vertAlign w:val="superscript"/>
          <w:lang w:val="en-US"/>
        </w:rPr>
        <w:t>®</w:t>
      </w:r>
    </w:p>
    <w:sectPr w:rsidR="005571B7" w:rsidRPr="00F00D0E" w:rsidSect="00E62FE0">
      <w:headerReference w:type="default" r:id="rId9"/>
      <w:footerReference w:type="default" r:id="rId10"/>
      <w:headerReference w:type="first" r:id="rId11"/>
      <w:footerReference w:type="first" r:id="rId12"/>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5966" w14:textId="77777777" w:rsidR="000C5939" w:rsidRDefault="000C5939" w:rsidP="003E4F4F">
      <w:r>
        <w:separator/>
      </w:r>
    </w:p>
  </w:endnote>
  <w:endnote w:type="continuationSeparator" w:id="0">
    <w:p w14:paraId="6B19C475" w14:textId="77777777" w:rsidR="000C5939" w:rsidRDefault="000C5939"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4986" w14:textId="3DADFD88" w:rsidR="000C5939" w:rsidRDefault="000C5939">
    <w:pPr>
      <w:pStyle w:val="Fuzeile"/>
    </w:pPr>
    <w:r>
      <w:rPr>
        <w:rFonts w:cs="Arial"/>
        <w:noProof/>
        <w:lang w:val="de-DE" w:eastAsia="de-DE"/>
      </w:rPr>
      <w:drawing>
        <wp:anchor distT="0" distB="0" distL="114300" distR="114300" simplePos="0" relativeHeight="251658240" behindDoc="0" locked="0" layoutInCell="1" allowOverlap="1" wp14:anchorId="0CB68DAC" wp14:editId="795FCA31">
          <wp:simplePos x="0" y="0"/>
          <wp:positionH relativeFrom="column">
            <wp:posOffset>-818515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7779" w14:textId="4ECDA611" w:rsidR="000C5939" w:rsidRDefault="000C5939">
    <w:pPr>
      <w:pStyle w:val="Fuzeile"/>
    </w:pPr>
    <w:r>
      <w:rPr>
        <w:rFonts w:cs="Arial"/>
        <w:noProof/>
        <w:lang w:val="de-DE" w:eastAsia="de-DE"/>
      </w:rPr>
      <w:drawing>
        <wp:anchor distT="0" distB="0" distL="114300" distR="114300" simplePos="0" relativeHeight="251660288" behindDoc="0" locked="0" layoutInCell="1" allowOverlap="1" wp14:anchorId="4268A721" wp14:editId="7B6E97B6">
          <wp:simplePos x="0" y="0"/>
          <wp:positionH relativeFrom="column">
            <wp:posOffset>-809625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9C93" w14:textId="77777777" w:rsidR="000C5939" w:rsidRDefault="000C5939" w:rsidP="003E4F4F">
      <w:r>
        <w:separator/>
      </w:r>
    </w:p>
  </w:footnote>
  <w:footnote w:type="continuationSeparator" w:id="0">
    <w:p w14:paraId="222AAB5F" w14:textId="77777777" w:rsidR="000C5939" w:rsidRDefault="000C5939" w:rsidP="003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C5939" w:rsidRPr="004B239B" w14:paraId="57F2476B" w14:textId="77777777" w:rsidTr="00876DAC">
      <w:trPr>
        <w:trHeight w:val="794"/>
      </w:trPr>
      <w:tc>
        <w:tcPr>
          <w:tcW w:w="8079" w:type="dxa"/>
          <w:tcMar>
            <w:top w:w="0" w:type="dxa"/>
            <w:left w:w="0" w:type="dxa"/>
            <w:bottom w:w="0" w:type="dxa"/>
            <w:right w:w="0" w:type="dxa"/>
          </w:tcMar>
        </w:tcPr>
        <w:p w14:paraId="14060906" w14:textId="48A62FC3" w:rsidR="000C5939" w:rsidRPr="001C1CB0" w:rsidRDefault="000C5939" w:rsidP="001C1CB0">
          <w:pPr>
            <w:rPr>
              <w:sz w:val="14"/>
              <w:szCs w:val="14"/>
            </w:rPr>
          </w:pPr>
          <w:r>
            <w:rPr>
              <w:rFonts w:cs="Arial"/>
              <w:b/>
              <w:noProof/>
              <w:color w:val="000000"/>
              <w:sz w:val="14"/>
            </w:rPr>
            <w:t>CHG-MERIDIAN PRESS RELEASE</w:t>
          </w:r>
          <w:r>
            <w:rPr>
              <w:rFonts w:cs="Arial"/>
              <w:color w:val="000000"/>
              <w:sz w:val="14"/>
            </w:rPr>
            <w:t xml:space="preserve">· Page </w:t>
          </w:r>
          <w:r w:rsidRPr="001C1CB0">
            <w:rPr>
              <w:sz w:val="14"/>
            </w:rPr>
            <w:fldChar w:fldCharType="begin"/>
          </w:r>
          <w:r w:rsidRPr="001C1CB0">
            <w:rPr>
              <w:sz w:val="14"/>
              <w:szCs w:val="14"/>
            </w:rPr>
            <w:instrText xml:space="preserve"> PAGE </w:instrText>
          </w:r>
          <w:r w:rsidRPr="001C1CB0">
            <w:rPr>
              <w:sz w:val="14"/>
            </w:rPr>
            <w:fldChar w:fldCharType="separate"/>
          </w:r>
          <w:r w:rsidR="00B53DF4">
            <w:rPr>
              <w:noProof/>
              <w:sz w:val="14"/>
              <w:szCs w:val="14"/>
            </w:rPr>
            <w:t>2</w:t>
          </w:r>
          <w:r w:rsidRPr="001C1CB0">
            <w:rPr>
              <w:sz w:val="14"/>
            </w:rPr>
            <w:fldChar w:fldCharType="end"/>
          </w:r>
          <w:r>
            <w:rPr>
              <w:rFonts w:cs="Arial"/>
              <w:color w:val="000000"/>
              <w:sz w:val="14"/>
            </w:rPr>
            <w:t xml:space="preserve"> of </w:t>
          </w:r>
          <w:r w:rsidRPr="001C1CB0">
            <w:rPr>
              <w:sz w:val="14"/>
            </w:rPr>
            <w:fldChar w:fldCharType="begin"/>
          </w:r>
          <w:r w:rsidRPr="001C1CB0">
            <w:rPr>
              <w:sz w:val="14"/>
              <w:szCs w:val="14"/>
            </w:rPr>
            <w:instrText xml:space="preserve"> NUMPAGES </w:instrText>
          </w:r>
          <w:r w:rsidRPr="001C1CB0">
            <w:rPr>
              <w:sz w:val="14"/>
            </w:rPr>
            <w:fldChar w:fldCharType="separate"/>
          </w:r>
          <w:r w:rsidR="00B53DF4">
            <w:rPr>
              <w:noProof/>
              <w:sz w:val="14"/>
              <w:szCs w:val="14"/>
            </w:rPr>
            <w:t>2</w:t>
          </w:r>
          <w:r w:rsidRPr="001C1CB0">
            <w:rPr>
              <w:sz w:val="14"/>
            </w:rPr>
            <w:fldChar w:fldCharType="end"/>
          </w:r>
          <w:r>
            <w:rPr>
              <w:rFonts w:cs="Arial"/>
              <w:color w:val="000000"/>
              <w:sz w:val="14"/>
            </w:rPr>
            <w:t xml:space="preserve"> </w:t>
          </w:r>
        </w:p>
      </w:tc>
      <w:tc>
        <w:tcPr>
          <w:tcW w:w="2126" w:type="dxa"/>
          <w:tcMar>
            <w:top w:w="0" w:type="dxa"/>
            <w:left w:w="0" w:type="dxa"/>
            <w:bottom w:w="0" w:type="dxa"/>
            <w:right w:w="0" w:type="dxa"/>
          </w:tcMar>
        </w:tcPr>
        <w:p w14:paraId="4694DD15" w14:textId="77777777" w:rsidR="000C5939" w:rsidRPr="004B239B" w:rsidRDefault="000C5939" w:rsidP="001C1CB0">
          <w:pPr>
            <w:jc w:val="left"/>
          </w:pPr>
          <w:r>
            <w:rPr>
              <w:rFonts w:cs="Arial"/>
              <w:noProof/>
              <w:color w:val="000000"/>
              <w:lang w:val="de-DE" w:eastAsia="de-DE"/>
            </w:rPr>
            <w:drawing>
              <wp:inline distT="0" distB="0" distL="0" distR="0" wp14:anchorId="04AAB715" wp14:editId="243E40A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33079596" w14:textId="77777777" w:rsidR="000C5939" w:rsidRDefault="000C5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C5939" w:rsidRPr="004B239B" w14:paraId="4664DE60" w14:textId="77777777" w:rsidTr="00876DAC">
      <w:trPr>
        <w:trHeight w:val="794"/>
      </w:trPr>
      <w:tc>
        <w:tcPr>
          <w:tcW w:w="8079" w:type="dxa"/>
          <w:tcMar>
            <w:top w:w="0" w:type="dxa"/>
            <w:left w:w="0" w:type="dxa"/>
            <w:bottom w:w="0" w:type="dxa"/>
            <w:right w:w="0" w:type="dxa"/>
          </w:tcMar>
        </w:tcPr>
        <w:p w14:paraId="5566CFE0" w14:textId="39E4D90C" w:rsidR="000C5939" w:rsidRPr="004B239B" w:rsidRDefault="000C5939" w:rsidP="001C1CB0">
          <w:pPr>
            <w:pStyle w:val="Titel"/>
          </w:pPr>
          <w:r>
            <w:rPr>
              <w:rFonts w:eastAsia="Times New Roman" w:cs="Arial"/>
              <w:color w:val="auto"/>
            </w:rPr>
            <w:t>Press Release</w:t>
          </w:r>
        </w:p>
      </w:tc>
      <w:tc>
        <w:tcPr>
          <w:tcW w:w="2126" w:type="dxa"/>
          <w:tcMar>
            <w:top w:w="0" w:type="dxa"/>
            <w:left w:w="0" w:type="dxa"/>
            <w:bottom w:w="0" w:type="dxa"/>
            <w:right w:w="0" w:type="dxa"/>
          </w:tcMar>
        </w:tcPr>
        <w:p w14:paraId="6441ABB3" w14:textId="77777777" w:rsidR="000C5939" w:rsidRPr="004B239B" w:rsidRDefault="000C5939" w:rsidP="001C1CB0">
          <w:pPr>
            <w:jc w:val="left"/>
          </w:pPr>
          <w:r>
            <w:rPr>
              <w:rFonts w:cs="Arial"/>
              <w:noProof/>
              <w:color w:val="000000"/>
              <w:lang w:val="de-DE" w:eastAsia="de-DE"/>
            </w:rPr>
            <w:drawing>
              <wp:inline distT="0" distB="0" distL="0" distR="0" wp14:anchorId="26B3D561" wp14:editId="5C0DAF2C">
                <wp:extent cx="943200" cy="324000"/>
                <wp:effectExtent l="0" t="0" r="0" b="0"/>
                <wp:docPr id="13"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14:paraId="66CA018E" w14:textId="77777777" w:rsidR="000C5939" w:rsidRDefault="000C5939" w:rsidP="004B2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15:restartNumberingAfterBreak="0">
    <w:nsid w:val="0C4560A2"/>
    <w:multiLevelType w:val="hybridMultilevel"/>
    <w:tmpl w:val="3C3E9F72"/>
    <w:lvl w:ilvl="0" w:tplc="617EBC0A">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15:restartNumberingAfterBreak="0">
    <w:nsid w:val="57AF27D5"/>
    <w:multiLevelType w:val="hybridMultilevel"/>
    <w:tmpl w:val="8DCC3E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15:restartNumberingAfterBreak="0">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2D823C6"/>
    <w:multiLevelType w:val="hybridMultilevel"/>
    <w:tmpl w:val="1BBEC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8"/>
  </w:num>
  <w:num w:numId="6">
    <w:abstractNumId w:val="3"/>
  </w:num>
  <w:num w:numId="7">
    <w:abstractNumId w:val="6"/>
  </w:num>
  <w:num w:numId="8">
    <w:abstractNumId w:val="7"/>
  </w:num>
  <w:num w:numId="9">
    <w:abstractNumId w:val="2"/>
  </w:num>
  <w:num w:numId="10">
    <w:abstractNumId w:val="1"/>
  </w:num>
  <w:num w:numId="11">
    <w:abstractNumId w:val="1"/>
    <w:lvlOverride w:ilvl="0">
      <w:startOverride w:val="1"/>
    </w:lvlOverride>
  </w:num>
  <w:num w:numId="12">
    <w:abstractNumId w:val="9"/>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E6"/>
    <w:rsid w:val="00033B44"/>
    <w:rsid w:val="000378A5"/>
    <w:rsid w:val="00071754"/>
    <w:rsid w:val="000733A9"/>
    <w:rsid w:val="00073828"/>
    <w:rsid w:val="00085338"/>
    <w:rsid w:val="000B3AF2"/>
    <w:rsid w:val="000C5939"/>
    <w:rsid w:val="000D12FA"/>
    <w:rsid w:val="000E03AB"/>
    <w:rsid w:val="00135EF9"/>
    <w:rsid w:val="00183D81"/>
    <w:rsid w:val="001843FD"/>
    <w:rsid w:val="0019557C"/>
    <w:rsid w:val="001C1CB0"/>
    <w:rsid w:val="001C29D2"/>
    <w:rsid w:val="001D78E7"/>
    <w:rsid w:val="001E2E86"/>
    <w:rsid w:val="001F20B0"/>
    <w:rsid w:val="00200130"/>
    <w:rsid w:val="00207023"/>
    <w:rsid w:val="00297A75"/>
    <w:rsid w:val="002A1BB4"/>
    <w:rsid w:val="002D4CE9"/>
    <w:rsid w:val="002D54AF"/>
    <w:rsid w:val="002E64A0"/>
    <w:rsid w:val="00316E05"/>
    <w:rsid w:val="0037598B"/>
    <w:rsid w:val="00396840"/>
    <w:rsid w:val="003B6787"/>
    <w:rsid w:val="003E4E09"/>
    <w:rsid w:val="003E4F4F"/>
    <w:rsid w:val="00402F61"/>
    <w:rsid w:val="00423CD4"/>
    <w:rsid w:val="00424E10"/>
    <w:rsid w:val="004361B9"/>
    <w:rsid w:val="00446FAA"/>
    <w:rsid w:val="00454F4F"/>
    <w:rsid w:val="0049117B"/>
    <w:rsid w:val="00492B12"/>
    <w:rsid w:val="004A1938"/>
    <w:rsid w:val="004B239B"/>
    <w:rsid w:val="004C79EB"/>
    <w:rsid w:val="004D0683"/>
    <w:rsid w:val="0050390E"/>
    <w:rsid w:val="0051006F"/>
    <w:rsid w:val="00514EA3"/>
    <w:rsid w:val="00547CF9"/>
    <w:rsid w:val="005571B7"/>
    <w:rsid w:val="005C6B36"/>
    <w:rsid w:val="005E46B1"/>
    <w:rsid w:val="00607BCD"/>
    <w:rsid w:val="0061248D"/>
    <w:rsid w:val="00631264"/>
    <w:rsid w:val="00636ECB"/>
    <w:rsid w:val="00637462"/>
    <w:rsid w:val="0064269A"/>
    <w:rsid w:val="006508AC"/>
    <w:rsid w:val="00670431"/>
    <w:rsid w:val="006779EB"/>
    <w:rsid w:val="00696F18"/>
    <w:rsid w:val="006A2518"/>
    <w:rsid w:val="006A61DF"/>
    <w:rsid w:val="00705AD7"/>
    <w:rsid w:val="00776FEC"/>
    <w:rsid w:val="00782A9A"/>
    <w:rsid w:val="00790533"/>
    <w:rsid w:val="007A29C0"/>
    <w:rsid w:val="007C5852"/>
    <w:rsid w:val="007C5F89"/>
    <w:rsid w:val="007D71AC"/>
    <w:rsid w:val="007E3EA6"/>
    <w:rsid w:val="00823FA8"/>
    <w:rsid w:val="00861E23"/>
    <w:rsid w:val="00866736"/>
    <w:rsid w:val="0087331B"/>
    <w:rsid w:val="00876DAC"/>
    <w:rsid w:val="0088563B"/>
    <w:rsid w:val="008A3F89"/>
    <w:rsid w:val="008B40D2"/>
    <w:rsid w:val="008C42B2"/>
    <w:rsid w:val="008F7419"/>
    <w:rsid w:val="00935EB9"/>
    <w:rsid w:val="00952F92"/>
    <w:rsid w:val="00967F7E"/>
    <w:rsid w:val="0097374D"/>
    <w:rsid w:val="009877C4"/>
    <w:rsid w:val="009975EA"/>
    <w:rsid w:val="009A6AFE"/>
    <w:rsid w:val="009A703D"/>
    <w:rsid w:val="009D3175"/>
    <w:rsid w:val="009F5933"/>
    <w:rsid w:val="00A01D16"/>
    <w:rsid w:val="00A0428F"/>
    <w:rsid w:val="00A12C43"/>
    <w:rsid w:val="00A3140C"/>
    <w:rsid w:val="00A71665"/>
    <w:rsid w:val="00AA3DD5"/>
    <w:rsid w:val="00AC1358"/>
    <w:rsid w:val="00AF68F1"/>
    <w:rsid w:val="00B0444F"/>
    <w:rsid w:val="00B3580B"/>
    <w:rsid w:val="00B418DD"/>
    <w:rsid w:val="00B53DF4"/>
    <w:rsid w:val="00B7094D"/>
    <w:rsid w:val="00B72201"/>
    <w:rsid w:val="00B760B5"/>
    <w:rsid w:val="00C053F7"/>
    <w:rsid w:val="00C16AE2"/>
    <w:rsid w:val="00C262D1"/>
    <w:rsid w:val="00C34BA7"/>
    <w:rsid w:val="00C53357"/>
    <w:rsid w:val="00C56893"/>
    <w:rsid w:val="00C77607"/>
    <w:rsid w:val="00C81737"/>
    <w:rsid w:val="00C96EAA"/>
    <w:rsid w:val="00CF607D"/>
    <w:rsid w:val="00D1668A"/>
    <w:rsid w:val="00D42E63"/>
    <w:rsid w:val="00D86455"/>
    <w:rsid w:val="00D91F94"/>
    <w:rsid w:val="00D922A8"/>
    <w:rsid w:val="00DB0401"/>
    <w:rsid w:val="00DB43C2"/>
    <w:rsid w:val="00DC0355"/>
    <w:rsid w:val="00DC18AE"/>
    <w:rsid w:val="00DD5E91"/>
    <w:rsid w:val="00DE0477"/>
    <w:rsid w:val="00DF7CBF"/>
    <w:rsid w:val="00E03C28"/>
    <w:rsid w:val="00E16161"/>
    <w:rsid w:val="00E42D78"/>
    <w:rsid w:val="00E450E6"/>
    <w:rsid w:val="00E62FE0"/>
    <w:rsid w:val="00E6646D"/>
    <w:rsid w:val="00E71BD9"/>
    <w:rsid w:val="00E72815"/>
    <w:rsid w:val="00E74574"/>
    <w:rsid w:val="00E75E36"/>
    <w:rsid w:val="00E82FF2"/>
    <w:rsid w:val="00E86670"/>
    <w:rsid w:val="00E871EC"/>
    <w:rsid w:val="00E91982"/>
    <w:rsid w:val="00E92513"/>
    <w:rsid w:val="00E950B0"/>
    <w:rsid w:val="00E96A23"/>
    <w:rsid w:val="00EA26F3"/>
    <w:rsid w:val="00EA56DA"/>
    <w:rsid w:val="00EA583C"/>
    <w:rsid w:val="00EA74FA"/>
    <w:rsid w:val="00EB0312"/>
    <w:rsid w:val="00EB106D"/>
    <w:rsid w:val="00EB5AEE"/>
    <w:rsid w:val="00EC1B30"/>
    <w:rsid w:val="00EC3001"/>
    <w:rsid w:val="00F00D0E"/>
    <w:rsid w:val="00F17AF1"/>
    <w:rsid w:val="00F20A75"/>
    <w:rsid w:val="00F342E4"/>
    <w:rsid w:val="00F44E80"/>
    <w:rsid w:val="00F85A1C"/>
    <w:rsid w:val="00FB602A"/>
    <w:rsid w:val="00FD1204"/>
    <w:rsid w:val="00FE15DA"/>
    <w:rsid w:val="00FE4C11"/>
    <w:rsid w:val="00FF2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291D4B"/>
  <w15:docId w15:val="{CBEB3F4D-C8D3-45AC-AC90-6DE6713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5571B7"/>
    <w:pPr>
      <w:numPr>
        <w:numId w:val="10"/>
      </w:numPr>
      <w:jc w:val="left"/>
    </w:pPr>
    <w:rPr>
      <w:rFonts w:eastAsia="Calibri" w:cs="Times New Roman"/>
      <w:color w:val="000000" w:themeColor="text1"/>
      <w:sz w:val="24"/>
      <w:szCs w:val="24"/>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5571B7"/>
    <w:rPr>
      <w:rFonts w:eastAsia="Calibri"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E135E44-E0F1-462E-95AD-DCA61B9F9B1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C9EF74B1</Template>
  <TotalTime>0</TotalTime>
  <Pages>2</Pages>
  <Words>790</Words>
  <Characters>4981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Detzel, Raphael</cp:lastModifiedBy>
  <cp:revision>6</cp:revision>
  <cp:lastPrinted>2016-11-14T12:06:00Z</cp:lastPrinted>
  <dcterms:created xsi:type="dcterms:W3CDTF">2016-11-17T07:08:00Z</dcterms:created>
  <dcterms:modified xsi:type="dcterms:W3CDTF">2016-11-17T08:10:00Z</dcterms:modified>
</cp:coreProperties>
</file>